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FSC- /PEFC-klagomål - information om höga naturvärden och fridlysta arter i avverkningsanmälan A 43891-2020 i Storumans kommun</w:t>
      </w:r>
    </w:p>
    <w:p>
      <w:r>
        <w:t>Detta dokument behandlar höga naturvärden i avverkningsamälan A 43891-2020 i Storumans kommun. Denna avverkningsanmälan inkom 2020-09-04 och omfattar 989,8 ha.</w:t>
      </w:r>
    </w:p>
    <w:p>
      <w:r>
        <w:t>Nedan presenteras fynd av naturvårdsarter och fridlysta arter som gjorts i det avverkningsanmälda området, samt relevanta utdrag ur standarderna för FSC, Chain of Custody, Controlled Wood och PEFC. I BILAGA 1 finns artfakta om fridlysta arter.</w:t>
      </w:r>
    </w:p>
    <w:p>
      <w:pPr>
        <w:pStyle w:val="Heading1"/>
      </w:pPr>
      <w:r>
        <w:t>Naturvårdsarter</w:t>
      </w:r>
    </w:p>
    <w:p>
      <w:r>
        <w:t>I avverkningsanmälan har följande 24 naturvårdsarter hittats: lappticka (VU), ostticka (VU), rynkskinn (VU), tajgaskinn (VU), doftskinn (NT), gammelgransskål (NT), garnlav (NT), granticka (NT), gränsticka (NT), harticka (NT), koralltaggsvamp (NT), lappmes (NT, §4), lunglav (NT), rosenticka (NT), skrovellav (NT), stjärntagging (NT), tretåig hackspett (NT, §4), ullticka (NT), utter (NT, §4a), blodticka (S), bårdlav (S), stuplav (S), trådticka (S) och vedticka (S). Av dessa är 19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mycket höga naturvärden. I Figur 1 visas en karta över det avverkningsamnälda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3831145"/>
            <wp:docPr id="1" name="Picture 1"/>
            <wp:cNvGraphicFramePr>
              <a:graphicFrameLocks noChangeAspect="1"/>
            </wp:cNvGraphicFramePr>
            <a:graphic>
              <a:graphicData uri="http://schemas.openxmlformats.org/drawingml/2006/picture">
                <pic:pic>
                  <pic:nvPicPr>
                    <pic:cNvPr id="0" name="A 43891-2020.png"/>
                    <pic:cNvPicPr/>
                  </pic:nvPicPr>
                  <pic:blipFill>
                    <a:blip r:embed="rId16"/>
                    <a:stretch>
                      <a:fillRect/>
                    </a:stretch>
                  </pic:blipFill>
                  <pic:spPr>
                    <a:xfrm>
                      <a:off x="0" y="0"/>
                      <a:ext cx="5486400" cy="3831145"/>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7268320, E 550274 i SWEREF 99 TM.</w:t>
      </w:r>
    </w:p>
    <w:p>
      <w:pPr>
        <w:pStyle w:val="Heading1"/>
      </w:pPr>
      <w:r>
        <w:t>Fridlysta arter</w:t>
      </w:r>
    </w:p>
    <w:p>
      <w:r>
        <w:t xml:space="preserve">Följande fridlysta arter har sina livsmiljöer och växtplatser i den avverkningsanmälda skogen: </w:t>
      </w:r>
    </w:p>
    <w:p>
      <w:pPr>
        <w:pStyle w:val="ListBullet"/>
      </w:pPr>
      <w:r>
        <w:t>Lappmes (NT, §4)</w:t>
      </w:r>
    </w:p>
    <w:p>
      <w:pPr>
        <w:pStyle w:val="ListBullet"/>
      </w:pPr>
      <w:r>
        <w:t>Tretåig hackspett (NT, §4)</w:t>
      </w:r>
    </w:p>
    <w:p>
      <w:pPr>
        <w:pStyle w:val="ListBullet"/>
      </w:pPr>
      <w:r>
        <w:t>Utter (NT, §4a)</w:t>
      </w:r>
    </w:p>
    <w:p>
      <w:r>
        <w:br/>
        <w:t xml:space="preserve">Observera att medlemsländerna är skyldiga att agera i enlighet med EU:s fågeldirektiv där det uttryckligen står att direktivet gäller för fåglar samt för deras ägg, bon och </w:t>
      </w:r>
      <w:r>
        <w:rPr>
          <w:b/>
        </w:rPr>
        <w:t xml:space="preserve">livsmiljöer </w:t>
      </w:r>
      <w:r>
        <w:t>(artikel 1). Vidare att de åtgärder som vidtas inte får leda till en försämring av den nuvarande situationen beträffande bevarandet av de fågelarter som avses i artikel 1 (artikel 13). Fågeldirektivet är styrande för tillsynsansvariga myndigheters ärendehantering, ställningstaganden och beslutsfattande.</w:t>
      </w:r>
    </w:p>
    <w:p>
      <w:pPr>
        <w:pStyle w:val="Heading1"/>
      </w:pPr>
      <w:r>
        <w:t>Certifiering</w:t>
      </w:r>
    </w:p>
    <w:p>
      <w:pPr>
        <w:pStyle w:val="Heading2"/>
      </w:pPr>
      <w:r>
        <w:t>Ur FSC-standarden</w:t>
      </w:r>
    </w:p>
    <w:p>
      <w:r>
        <w:rPr>
          <w:b/>
        </w:rPr>
        <w:t xml:space="preserve">PRINCIP 1: LAGEFTERLEVNAD: </w:t>
      </w:r>
      <w:r>
        <w:t>Certifikatsinnehavaren ska följa alla tillämpliga lagar, förordningar och nationellt ratificerade internationella avtal, konventioner och överenskommelser.</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p>
      <w:pPr>
        <w:pStyle w:val="ListBullet"/>
      </w:pPr>
      <w:r>
        <w:rPr>
          <w:b/>
          <w:i/>
        </w:rPr>
        <w:t xml:space="preserve">Kommentar: </w:t>
      </w:r>
      <w:r>
        <w:rPr>
          <w:i/>
        </w:rPr>
        <w:t xml:space="preserve">EU:s medlemsländer och skogsbolag är skyldiga att agera i enlighet med EU:s fågeldirektiv där det uttryckligen står att direktivet gäller för fåglar samt för deras ägg, bon och </w:t>
      </w:r>
      <w:r>
        <w:rPr>
          <w:b/>
          <w:i/>
        </w:rPr>
        <w:t xml:space="preserve">livsmiljöer </w:t>
      </w:r>
      <w:r>
        <w:t xml:space="preserve">(artikel 1). Vidare att de åtgärder som vidtas inte får leda till en försämring av den nuvarande situationen beträffande bevarandet av de fågelarter som avses i artikel 1 (artikel 13). </w:t>
      </w:r>
    </w:p>
    <w:p>
      <w:r>
        <w:rPr>
          <w:b/>
        </w:rPr>
        <w:t xml:space="preserve">6.4 </w:t>
      </w:r>
      <w:r>
        <w:t xml:space="preserve">Certifikatsinnehavaren ska skydda sällsynta arter och hotade arter samt deras livsmiljöer inom skogsbruksenheten. Det ska ske genom avsättningar, andra skyddade områden och genom att skapa konnektivitet och/eller genom andra direkta åtgärder som gynnar dessa arters överlevnad och livskraft. Åtgärderna ska stå i förhållande till brukandets skala, intensitet och risk, samt till sällsynta och hotade arters bevarandestatus och ekologiska krav. Certifikatsinnehavaren ska beakta den geografiska spridningen och ekologiska krav hos sällsynta och hotade arter utanför skogsbruksenhetens gränser när beslut om åtgärder inom skogsbruksenheten ska fattas. </w:t>
      </w:r>
    </w:p>
    <w:p>
      <w:pPr>
        <w:pStyle w:val="ListBullet"/>
      </w:pPr>
      <w:r>
        <w:rPr>
          <w:b/>
          <w:i/>
        </w:rPr>
        <w:t xml:space="preserve">Kommentar: </w:t>
      </w:r>
      <w:r>
        <w:rPr>
          <w:i/>
        </w:rPr>
        <w:t>I det avverkningsanmälda skogsområdet har naturvårdsarter och rödlistade arter sina livsmiljöer och växtplatser.</w:t>
      </w:r>
    </w:p>
    <w:p>
      <w:pPr>
        <w:pStyle w:val="Heading2"/>
      </w:pPr>
      <w:r>
        <w:t>Ur Chain of Custody Certification (FSC-STD-40-004 ver 3.0)</w:t>
      </w:r>
    </w:p>
    <w:p>
      <w:r>
        <w:rPr>
          <w:b/>
        </w:rPr>
        <w:t xml:space="preserve">1.3 </w:t>
      </w:r>
      <w:r>
        <w:t xml:space="preserve">The organization shall commit to the FSC values as defined in FSC-POL-01-004 Policy for the Association of Organizations with FSC. </w:t>
      </w:r>
    </w:p>
    <w:p>
      <w:pPr>
        <w:pStyle w:val="Heading2"/>
      </w:pPr>
      <w:r>
        <w:t>Ur FSC:s policy för associerade organisationer (FSC-POL-01-004)</w:t>
      </w:r>
    </w:p>
    <w:p>
      <w:r>
        <w:t xml:space="preserve">Som ”Chain of Custody”-certifierad organisation är skogsbolaget bunden av de fastställda reglerna i Del 1 Punkt 1 c) i Policy för organisationer associerade med FSC (FSC-POL-01-004 V2-0 EN + SVE version 2012-03-02): </w:t>
      </w:r>
    </w:p>
    <w:p>
      <w:pPr>
        <w:pStyle w:val="ListNumber"/>
      </w:pPr>
      <w:r>
        <w:t>De organisationer FSC kan acceptera association med får inte direkt eller indirekt ha några kopplingar till nedanstående, oacceptabla aktiviteter:</w:t>
      </w:r>
    </w:p>
    <w:p>
      <w:pPr>
        <w:ind w:left="357"/>
      </w:pPr>
      <w:r>
        <w:t>a) Olaglig skogsavverkning och handel med olagligt avverkat virke eller skogsprodukter</w:t>
      </w:r>
    </w:p>
    <w:p>
      <w:pPr>
        <w:ind w:left="357"/>
      </w:pPr>
      <w:r>
        <w:t>...</w:t>
      </w:r>
    </w:p>
    <w:p>
      <w:pPr>
        <w:ind w:left="357"/>
      </w:pPr>
      <w:r>
        <w:t>c) Skogsbruk som förstör höga naturvärden</w:t>
      </w:r>
    </w:p>
    <w:p>
      <w:pPr>
        <w:ind w:left="357"/>
      </w:pPr>
      <w:r>
        <w:t>d) Betydande omvandling av skog till plantager eller annan, icke skoglig, markanvändning</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2"/>
      </w:pPr>
      <w:r>
        <w:t>Ur FSC Controlled Wood (FSC-STD-40-005)</w:t>
      </w:r>
    </w:p>
    <w:p>
      <w:r>
        <w:t>Virke som inte accepteras i FSC-märkta produkter (oacceptabelt ursprung) enligt FSC Controlled Wood (FSC-STD-40-005):</w:t>
      </w:r>
    </w:p>
    <w:p>
      <w:pPr>
        <w:pStyle w:val="ListNumber"/>
      </w:pPr>
      <w:r>
        <w:t>Illegalt avverkat virke.</w:t>
      </w:r>
    </w:p>
    <w:p>
      <w:pPr>
        <w:pStyle w:val="ListNumber"/>
      </w:pPr>
      <w:r>
        <w:t>...</w:t>
      </w:r>
    </w:p>
    <w:p>
      <w:pPr>
        <w:pStyle w:val="ListNumber"/>
      </w:pPr>
      <w:r>
        <w:t>Virke från avverkningar som hotar höga naturvärden.</w:t>
      </w:r>
    </w:p>
    <w:p>
      <w:pPr>
        <w:pStyle w:val="ListNumber"/>
      </w:pPr>
      <w:r>
        <w:t>Virke från skog som konverteras till plantager eller icke-skogligt bruk.</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1"/>
      </w:pPr>
      <w:r>
        <w:t>Ur PEFC-standarden gällande lagefterlevnad</w:t>
      </w:r>
    </w:p>
    <w:p>
      <w:r>
        <w:t>PEFC-standarden förutsätter att tillämplig svensk lagstiftning följs. Det är utsedd tillsynsmyndighet som ansvarar för tillsyn av lagens efterlevnad. PEFC-standarden återger innehållet i vissa certifieringskritiska lag- och föreskriftskrav vilka ska ingå i granskning av PEFC-systemets efterlevnad.</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p>
      <w:r>
        <w:br w:type="page"/>
      </w:r>
    </w:p>
    <w:p>
      <w:pPr>
        <w:pStyle w:val="Title"/>
      </w:pPr>
      <w:r>
        <w:t>BILAGA 1 - Fridlysta arter</w:t>
      </w:r>
    </w:p>
    <w:p>
      <w:pPr>
        <w:pStyle w:val="Heading1"/>
      </w:pPr>
      <w:r>
        <w:t>Tretåig hackspett – ekologi samt krav på livsmiljön</w:t>
      </w:r>
    </w:p>
    <w:p>
      <w:r>
        <w:t xml:space="preserve">Tretåig hackspett (NT) är fridlyst enligt §4 Artskyddsförordningen och finns med som prioriterad art i Skogsstyrelsen vägledning för skogsbruket (bilaga 4 till SVL). I vägledningen står bland annat att: </w:t>
      </w:r>
      <w:r>
        <w:rPr>
          <w:i/>
        </w:rPr>
        <w:t xml:space="preserve">“Tretåig hackspett har stora arealkrav och höga krav på sin livsmiljö. Omdaningen av naturskogar till kulturskogar medför en förlust av viktiga miljöer, något som förstärks av ökad fragmentering till följd av avverkningar.” </w:t>
      </w:r>
      <w:r>
        <w:t xml:space="preserve">Vidare att: </w:t>
      </w:r>
      <w:r>
        <w:rPr>
          <w:i/>
        </w:rPr>
        <w:t>“Områden med dokumenterad permanent förekomst i naturskogsmiljöer har vanligen så stora naturvärden att skogsbruk är olämpligt”.</w:t>
      </w:r>
    </w:p>
    <w:p>
      <w:r>
        <w:t>Tretåig hackspett är beroende av större sammanhängande naturskogar med kontinuerlig tillgång och nybildning av död ved och fragmentering av livsmiljöerna utgör ett stort hot mot arten (se exempelvis Stachura-Skierczynska et al., 2009; Wesolowski et al., 2005; Butler et al., 2004; Pakkala et al., 2002; Amcoff et al., 1996; Virkkala, 1991).</w:t>
      </w:r>
    </w:p>
    <w:p>
      <w:r>
        <w:t xml:space="preserve">Permanenta revir av tretåig hackspett karaktäriseras ofta av artens typiska ringformigt ordnade hackmärken på framför allt gamla granar. För att säkerställa att inte revir av tretåig hackspett drabbas av avverkningsplanerna bör en inventering göras i området både under häckningstid och under vintern, då arten utnyttjar betydligt större områden än under sommarens häckningsrevir. Storleken på häckningsreviret varierar med skogstypen, förekomsten av död ved och graden av fragmentering, men är i allmänhet i storleksordningen 25–100 hektar. </w:t>
      </w:r>
    </w:p>
    <w:p>
      <w:r>
        <w:t>Förutom fridlysning enligt §4 Artskyddsförordningen är tretåig hackspett även förtecknad i EU:s fågeldirektiv bilaga 1. Den ingår också i Natura 2000 och är förtecknad i Bernkonventionen bilaga II (strikt skyddade djurarter).</w:t>
      </w:r>
    </w:p>
    <w:p>
      <w:pPr>
        <w:pStyle w:val="Heading2"/>
      </w:pPr>
      <w:r>
        <w:t>Referenser - tretåig hackspett</w:t>
      </w:r>
    </w:p>
    <w:p>
      <w:r>
        <w:t xml:space="preserve">Amcoff, M. &amp; Eriksson, P. 1996. </w:t>
      </w:r>
      <w:r>
        <w:rPr>
          <w:i/>
        </w:rPr>
        <w:t xml:space="preserve">Förekomst av tretåig hackspett Picoides tridactylus på bestånds- och landskapsnivå. </w:t>
      </w:r>
      <w:r>
        <w:t>Ornis Svecica 6: 107–119</w:t>
      </w:r>
    </w:p>
    <w:p>
      <w:r>
        <w:t xml:space="preserve">Butler, R., Angelstam, P., Ekelund, P. &amp; Schlaeffer, R. 2004. </w:t>
      </w:r>
      <w:r>
        <w:rPr>
          <w:i/>
        </w:rPr>
        <w:t xml:space="preserve">Dead wood threshold values for the three-toed woodpecker presence in boreal and sub-Alpine forest. </w:t>
      </w:r>
      <w:r>
        <w:t>Biological conservation 119(3): 305–318</w:t>
      </w:r>
    </w:p>
    <w:p>
      <w:r>
        <w:t xml:space="preserve">Pakkala, T., Hanski, I. &amp; Tomppo, E. 2002. </w:t>
      </w:r>
      <w:r>
        <w:rPr>
          <w:i/>
        </w:rPr>
        <w:t xml:space="preserve">Spatial ecology of the three-toed woodpecker in managed forest landscapes. </w:t>
      </w:r>
      <w:r>
        <w:t>Silva Fennica 36(1): 279-288.</w:t>
      </w:r>
    </w:p>
    <w:p>
      <w:r>
        <w:t xml:space="preserve">Skogsstyrelsen, 2016. </w:t>
      </w:r>
      <w:r>
        <w:rPr>
          <w:i/>
        </w:rPr>
        <w:t xml:space="preserve">Vägledning för hänsyn till fåglar – Tretåig hackspett. </w:t>
      </w:r>
      <w:r>
        <w:t>www.skogsstyrelsen.se</w:t>
      </w:r>
    </w:p>
    <w:p>
      <w:r>
        <w:t xml:space="preserve">Stachura-Skierczynska, K., Tumiel, T. &amp; Skierczynski, M. 2009. </w:t>
      </w:r>
      <w:r>
        <w:rPr>
          <w:i/>
        </w:rPr>
        <w:t xml:space="preserve">Habitat prediction model for three-toed woodpecker and its implications for the conservation of biologically valuable forests. </w:t>
      </w:r>
      <w:r>
        <w:t>Forest Ecology and Management 258(5): 697-703.</w:t>
      </w:r>
    </w:p>
    <w:p>
      <w:r>
        <w:t xml:space="preserve">Virkkala, R. 1991. </w:t>
      </w:r>
      <w:r>
        <w:rPr>
          <w:i/>
        </w:rPr>
        <w:t xml:space="preserve">Population trends of forest birds in a Finnish Lapland landscape of large habitat blocks – Consequences of stochastic environmental variation or regional habitat alteration. </w:t>
      </w:r>
      <w:r>
        <w:t>Biological conservation 56(2): 223–240</w:t>
      </w:r>
    </w:p>
    <w:p>
      <w:r>
        <w:t xml:space="preserve">Wesolowski, T., Czeszczewik, D. &amp; Rowinski, P. 2005. </w:t>
      </w:r>
      <w:r>
        <w:rPr>
          <w:i/>
        </w:rPr>
        <w:t xml:space="preserve">Effects of forest management on Three-toed Woodpecker Picoides tridactylus distribution in the Bialowieza Forest (NE Poland): conservation implications. </w:t>
      </w:r>
      <w:r>
        <w:t>Acta Ornithologica 40(1): 53–60.</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2023-09-12</w:t>
      <w:br/>
      <w:br/>
    </w:r>
    <w:r>
      <w:t>Till: Allmännings- och besparingsskogar</w:t>
      <w:br/>
    </w:r>
    <w:r>
      <w:t>Kopia: DNV och FSC</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ED360C"/>
    <w:pPr>
      <w:spacing w:after="80" w:line="240" w:lineRule="auto"/>
    </w:pPr>
    <w:rPr>
      <w:bCs/>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